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BED0" w14:textId="30A0AD5C" w:rsidR="00910B08" w:rsidRDefault="00910B08">
      <w:pPr>
        <w:rPr>
          <w:rFonts w:ascii="Arial" w:hAnsi="Arial" w:cs="Arial"/>
          <w:sz w:val="24"/>
          <w:szCs w:val="24"/>
        </w:rPr>
      </w:pPr>
      <w:r w:rsidRPr="000B1FEB">
        <w:rPr>
          <w:rFonts w:ascii="Arial" w:hAnsi="Arial" w:cs="Arial"/>
          <w:sz w:val="24"/>
          <w:szCs w:val="24"/>
        </w:rPr>
        <w:t>A Brief introduction to DA – webinar – notes</w:t>
      </w:r>
    </w:p>
    <w:p w14:paraId="1F277598" w14:textId="77777777" w:rsidR="00AF0A3E" w:rsidRPr="000B1FEB" w:rsidRDefault="00AF0A3E">
      <w:pPr>
        <w:rPr>
          <w:rFonts w:ascii="Arial" w:hAnsi="Arial" w:cs="Arial"/>
          <w:sz w:val="24"/>
          <w:szCs w:val="24"/>
        </w:rPr>
      </w:pPr>
    </w:p>
    <w:p w14:paraId="1E3FECD5" w14:textId="3ABE6B94" w:rsidR="00910B08" w:rsidRPr="000B1FEB" w:rsidRDefault="00910B08">
      <w:pPr>
        <w:rPr>
          <w:rFonts w:ascii="Arial" w:hAnsi="Arial" w:cs="Arial"/>
          <w:sz w:val="24"/>
          <w:szCs w:val="24"/>
        </w:rPr>
      </w:pPr>
      <w:r w:rsidRPr="000B1FEB">
        <w:rPr>
          <w:rFonts w:ascii="Arial" w:hAnsi="Arial" w:cs="Arial"/>
          <w:sz w:val="24"/>
          <w:szCs w:val="24"/>
        </w:rPr>
        <w:t xml:space="preserve">Slide 1 </w:t>
      </w:r>
      <w:r w:rsidRPr="000B1FEB">
        <w:rPr>
          <w:rFonts w:ascii="Arial" w:hAnsi="Arial" w:cs="Arial"/>
          <w:b/>
          <w:sz w:val="24"/>
          <w:szCs w:val="24"/>
        </w:rPr>
        <w:t>– this is very brief</w:t>
      </w:r>
      <w:r w:rsidRPr="000B1FEB">
        <w:rPr>
          <w:rFonts w:ascii="Arial" w:hAnsi="Arial" w:cs="Arial"/>
          <w:sz w:val="24"/>
          <w:szCs w:val="24"/>
        </w:rPr>
        <w:t xml:space="preserve"> – other webinars developed to focus on areas</w:t>
      </w:r>
      <w:r w:rsidR="004C5BF7">
        <w:rPr>
          <w:rFonts w:ascii="Arial" w:hAnsi="Arial" w:cs="Arial"/>
          <w:sz w:val="24"/>
          <w:szCs w:val="24"/>
        </w:rPr>
        <w:t>.  Is there any specifics you would like to know about?</w:t>
      </w:r>
    </w:p>
    <w:p w14:paraId="156D74DC" w14:textId="77777777" w:rsidR="00910B08" w:rsidRPr="000B1FEB" w:rsidRDefault="00910B08">
      <w:pPr>
        <w:rPr>
          <w:rFonts w:ascii="Arial" w:hAnsi="Arial" w:cs="Arial"/>
          <w:sz w:val="24"/>
          <w:szCs w:val="24"/>
        </w:rPr>
      </w:pPr>
      <w:r w:rsidRPr="000B1FEB">
        <w:rPr>
          <w:rFonts w:ascii="Arial" w:hAnsi="Arial" w:cs="Arial"/>
          <w:sz w:val="24"/>
          <w:szCs w:val="24"/>
        </w:rPr>
        <w:t xml:space="preserve">Slide 2 – </w:t>
      </w:r>
    </w:p>
    <w:p w14:paraId="57CF2D17" w14:textId="77777777" w:rsidR="0045692A" w:rsidRPr="000B1FEB" w:rsidRDefault="00910B08" w:rsidP="0045692A">
      <w:pPr>
        <w:rPr>
          <w:rFonts w:ascii="Arial" w:hAnsi="Arial" w:cs="Arial"/>
          <w:sz w:val="24"/>
          <w:szCs w:val="24"/>
        </w:rPr>
      </w:pPr>
      <w:r w:rsidRPr="000B1FEB">
        <w:rPr>
          <w:rFonts w:ascii="Arial" w:hAnsi="Arial" w:cs="Arial"/>
          <w:sz w:val="24"/>
          <w:szCs w:val="24"/>
        </w:rPr>
        <w:t xml:space="preserve">Slide 3 - </w:t>
      </w:r>
      <w:r w:rsidR="0045692A" w:rsidRPr="000B1FEB">
        <w:rPr>
          <w:rFonts w:ascii="Arial" w:hAnsi="Arial" w:cs="Arial"/>
          <w:sz w:val="24"/>
          <w:szCs w:val="24"/>
        </w:rPr>
        <w:t>Note photo says, ‘battered’ – explain how language changes. Explain how policy focus is shifting to holding perpetrator to account</w:t>
      </w:r>
    </w:p>
    <w:p w14:paraId="1F2E9699" w14:textId="0F7CA2FB" w:rsidR="004037FA" w:rsidRPr="000B1FEB" w:rsidRDefault="0045692A" w:rsidP="004037FA">
      <w:pPr>
        <w:rPr>
          <w:rFonts w:ascii="Arial" w:hAnsi="Arial" w:cs="Arial"/>
          <w:sz w:val="24"/>
          <w:szCs w:val="24"/>
        </w:rPr>
      </w:pPr>
      <w:r w:rsidRPr="000B1FEB">
        <w:rPr>
          <w:rFonts w:ascii="Arial" w:hAnsi="Arial" w:cs="Arial"/>
          <w:sz w:val="24"/>
          <w:szCs w:val="24"/>
        </w:rPr>
        <w:t xml:space="preserve">Slide </w:t>
      </w:r>
      <w:proofErr w:type="gramStart"/>
      <w:r w:rsidRPr="000B1FEB">
        <w:rPr>
          <w:rFonts w:ascii="Arial" w:hAnsi="Arial" w:cs="Arial"/>
          <w:sz w:val="24"/>
          <w:szCs w:val="24"/>
        </w:rPr>
        <w:t>4  -</w:t>
      </w:r>
      <w:proofErr w:type="gramEnd"/>
      <w:r w:rsidRPr="000B1FEB">
        <w:rPr>
          <w:rFonts w:ascii="Arial" w:hAnsi="Arial" w:cs="Arial"/>
          <w:sz w:val="24"/>
          <w:szCs w:val="24"/>
        </w:rPr>
        <w:t xml:space="preserve"> </w:t>
      </w:r>
      <w:r w:rsidR="004037FA" w:rsidRPr="000B1FEB">
        <w:rPr>
          <w:rFonts w:ascii="Arial" w:hAnsi="Arial" w:cs="Arial"/>
          <w:sz w:val="24"/>
          <w:szCs w:val="24"/>
        </w:rPr>
        <w:t xml:space="preserve">Who are the experts – women and </w:t>
      </w:r>
      <w:proofErr w:type="spellStart"/>
      <w:r w:rsidR="004037FA" w:rsidRPr="000B1FEB">
        <w:rPr>
          <w:rFonts w:ascii="Arial" w:hAnsi="Arial" w:cs="Arial"/>
          <w:sz w:val="24"/>
          <w:szCs w:val="24"/>
        </w:rPr>
        <w:t>cyp</w:t>
      </w:r>
      <w:proofErr w:type="spellEnd"/>
      <w:r w:rsidR="004037FA" w:rsidRPr="000B1FEB">
        <w:rPr>
          <w:rFonts w:ascii="Arial" w:hAnsi="Arial" w:cs="Arial"/>
          <w:sz w:val="24"/>
          <w:szCs w:val="24"/>
        </w:rPr>
        <w:t xml:space="preserve"> – burden of fear, </w:t>
      </w:r>
      <w:proofErr w:type="spellStart"/>
      <w:r w:rsidR="004037FA" w:rsidRPr="000B1FEB">
        <w:rPr>
          <w:rFonts w:ascii="Arial" w:hAnsi="Arial" w:cs="Arial"/>
          <w:sz w:val="24"/>
          <w:szCs w:val="24"/>
        </w:rPr>
        <w:t>sahme</w:t>
      </w:r>
      <w:proofErr w:type="spellEnd"/>
      <w:r w:rsidR="004037FA" w:rsidRPr="000B1FEB">
        <w:rPr>
          <w:rFonts w:ascii="Arial" w:hAnsi="Arial" w:cs="Arial"/>
          <w:sz w:val="24"/>
          <w:szCs w:val="24"/>
        </w:rPr>
        <w:t xml:space="preserve">.  It is their reality, very courageous and it is a </w:t>
      </w:r>
      <w:proofErr w:type="spellStart"/>
      <w:r w:rsidR="004037FA" w:rsidRPr="000B1FEB">
        <w:rPr>
          <w:rFonts w:ascii="Arial" w:hAnsi="Arial" w:cs="Arial"/>
          <w:sz w:val="24"/>
          <w:szCs w:val="24"/>
        </w:rPr>
        <w:t>privelage</w:t>
      </w:r>
      <w:proofErr w:type="spellEnd"/>
      <w:r w:rsidR="004037FA" w:rsidRPr="000B1FEB">
        <w:rPr>
          <w:rFonts w:ascii="Arial" w:hAnsi="Arial" w:cs="Arial"/>
          <w:sz w:val="24"/>
          <w:szCs w:val="24"/>
        </w:rPr>
        <w:t xml:space="preserve"> to work for WA movement.  Try to recognise the whole person.  Survivors voices are heard through the training.  Look beyond the mask</w:t>
      </w:r>
    </w:p>
    <w:p w14:paraId="3B85311B" w14:textId="4C9EEFA4" w:rsidR="004037FA" w:rsidRPr="000B1FEB" w:rsidRDefault="004037FA" w:rsidP="004037FA">
      <w:pPr>
        <w:rPr>
          <w:rFonts w:ascii="Arial" w:hAnsi="Arial" w:cs="Arial"/>
          <w:sz w:val="24"/>
          <w:szCs w:val="24"/>
        </w:rPr>
      </w:pPr>
      <w:r w:rsidRPr="000B1FEB">
        <w:rPr>
          <w:rFonts w:ascii="Arial" w:hAnsi="Arial" w:cs="Arial"/>
          <w:sz w:val="24"/>
          <w:szCs w:val="24"/>
        </w:rPr>
        <w:t xml:space="preserve">Slide 5 </w:t>
      </w:r>
      <w:r w:rsidR="001D37B5" w:rsidRPr="000B1FEB">
        <w:rPr>
          <w:rFonts w:ascii="Arial" w:hAnsi="Arial" w:cs="Arial"/>
          <w:sz w:val="24"/>
          <w:szCs w:val="24"/>
        </w:rPr>
        <w:t>–</w:t>
      </w:r>
      <w:r w:rsidRPr="000B1FEB">
        <w:rPr>
          <w:rFonts w:ascii="Arial" w:hAnsi="Arial" w:cs="Arial"/>
          <w:sz w:val="24"/>
          <w:szCs w:val="24"/>
        </w:rPr>
        <w:t xml:space="preserve"> </w:t>
      </w:r>
    </w:p>
    <w:p w14:paraId="06B8E1AB" w14:textId="386459AB" w:rsidR="001D37B5" w:rsidRPr="000B1FEB" w:rsidRDefault="001D37B5" w:rsidP="004037FA">
      <w:pPr>
        <w:rPr>
          <w:rFonts w:ascii="Arial" w:hAnsi="Arial" w:cs="Arial"/>
          <w:sz w:val="24"/>
          <w:szCs w:val="24"/>
        </w:rPr>
      </w:pPr>
      <w:r w:rsidRPr="000B1FEB">
        <w:rPr>
          <w:rFonts w:ascii="Arial" w:hAnsi="Arial" w:cs="Arial"/>
          <w:sz w:val="24"/>
          <w:szCs w:val="24"/>
        </w:rPr>
        <w:t xml:space="preserve">Slide 6 - </w:t>
      </w:r>
      <w:r w:rsidRPr="000B1FEB">
        <w:rPr>
          <w:rFonts w:ascii="Arial" w:hAnsi="Arial" w:cs="Arial"/>
          <w:b/>
          <w:sz w:val="24"/>
          <w:szCs w:val="24"/>
        </w:rPr>
        <w:t>Legal duties</w:t>
      </w:r>
      <w:r w:rsidR="00E91D16">
        <w:rPr>
          <w:rFonts w:ascii="Arial" w:hAnsi="Arial" w:cs="Arial"/>
          <w:b/>
          <w:sz w:val="24"/>
          <w:szCs w:val="24"/>
        </w:rPr>
        <w:t xml:space="preserve"> </w:t>
      </w:r>
      <w:r w:rsidR="00E91D16">
        <w:rPr>
          <w:rFonts w:ascii="Arial" w:hAnsi="Arial" w:cs="Arial"/>
          <w:sz w:val="24"/>
          <w:szCs w:val="24"/>
        </w:rPr>
        <w:t>explain the term VAW</w:t>
      </w:r>
      <w:r w:rsidR="00896D1B">
        <w:rPr>
          <w:rFonts w:ascii="Arial" w:hAnsi="Arial" w:cs="Arial"/>
          <w:sz w:val="24"/>
          <w:szCs w:val="24"/>
        </w:rPr>
        <w:t>. DA is a violation of HR.</w:t>
      </w:r>
      <w:r w:rsidRPr="000B1FEB">
        <w:rPr>
          <w:rFonts w:ascii="Arial" w:hAnsi="Arial" w:cs="Arial"/>
          <w:sz w:val="24"/>
          <w:szCs w:val="24"/>
        </w:rPr>
        <w:t xml:space="preserve"> set out by several international treaties and human rights obligations. Scotland is committed to meeting the benchmark set by each of these international treaties and obligations – as a modern democratic country, we aspire to the creation of an inclusive Scotland which protects, respects and realises the human rights of everyone</w:t>
      </w:r>
    </w:p>
    <w:p w14:paraId="08E751FD" w14:textId="04087C13" w:rsidR="001D37B5" w:rsidRPr="000B1FEB" w:rsidRDefault="003D6D9B" w:rsidP="004037FA">
      <w:pPr>
        <w:rPr>
          <w:rFonts w:ascii="Arial" w:hAnsi="Arial" w:cs="Arial"/>
          <w:sz w:val="24"/>
          <w:szCs w:val="24"/>
        </w:rPr>
      </w:pPr>
      <w:r w:rsidRPr="000B1FEB">
        <w:rPr>
          <w:rFonts w:ascii="Arial" w:hAnsi="Arial" w:cs="Arial"/>
          <w:sz w:val="24"/>
          <w:szCs w:val="24"/>
        </w:rPr>
        <w:t xml:space="preserve">Slide 7 - </w:t>
      </w:r>
      <w:r w:rsidR="00505992" w:rsidRPr="000B1FEB">
        <w:rPr>
          <w:rFonts w:ascii="Arial" w:hAnsi="Arial" w:cs="Arial"/>
          <w:b/>
          <w:sz w:val="24"/>
          <w:szCs w:val="24"/>
        </w:rPr>
        <w:t>Equally Safe strategy</w:t>
      </w:r>
      <w:r w:rsidR="00505992" w:rsidRPr="000B1FEB">
        <w:rPr>
          <w:rFonts w:ascii="Arial" w:hAnsi="Arial" w:cs="Arial"/>
          <w:sz w:val="24"/>
          <w:szCs w:val="24"/>
        </w:rPr>
        <w:t xml:space="preserve"> – Progressive and follows an equalities and human rights approach.</w:t>
      </w:r>
    </w:p>
    <w:p w14:paraId="548C8F16" w14:textId="1D9FD85B" w:rsidR="00505992" w:rsidRPr="000B1FEB" w:rsidRDefault="00505992" w:rsidP="004037FA">
      <w:pPr>
        <w:rPr>
          <w:rFonts w:ascii="Arial" w:hAnsi="Arial" w:cs="Arial"/>
          <w:sz w:val="24"/>
          <w:szCs w:val="24"/>
        </w:rPr>
      </w:pPr>
      <w:r w:rsidRPr="000B1FEB">
        <w:rPr>
          <w:rFonts w:ascii="Arial" w:hAnsi="Arial" w:cs="Arial"/>
          <w:sz w:val="24"/>
          <w:szCs w:val="24"/>
        </w:rPr>
        <w:t xml:space="preserve">Slide 8 - </w:t>
      </w:r>
      <w:r w:rsidR="00277A21" w:rsidRPr="000B1FEB">
        <w:rPr>
          <w:rFonts w:ascii="Arial" w:hAnsi="Arial" w:cs="Arial"/>
          <w:b/>
          <w:sz w:val="24"/>
          <w:szCs w:val="24"/>
        </w:rPr>
        <w:t>Femi</w:t>
      </w:r>
      <w:r w:rsidR="00E03544">
        <w:rPr>
          <w:rFonts w:ascii="Arial" w:hAnsi="Arial" w:cs="Arial"/>
          <w:b/>
          <w:sz w:val="24"/>
          <w:szCs w:val="24"/>
        </w:rPr>
        <w:t>c</w:t>
      </w:r>
      <w:r w:rsidR="00277A21" w:rsidRPr="000B1FEB">
        <w:rPr>
          <w:rFonts w:ascii="Arial" w:hAnsi="Arial" w:cs="Arial"/>
          <w:b/>
          <w:sz w:val="24"/>
          <w:szCs w:val="24"/>
        </w:rPr>
        <w:t>ide</w:t>
      </w:r>
      <w:r w:rsidR="00277A21" w:rsidRPr="000B1FEB">
        <w:rPr>
          <w:rFonts w:ascii="Arial" w:hAnsi="Arial" w:cs="Arial"/>
          <w:sz w:val="24"/>
          <w:szCs w:val="24"/>
        </w:rPr>
        <w:t xml:space="preserve"> - where women are killed because they are female</w:t>
      </w:r>
    </w:p>
    <w:p w14:paraId="32D32677" w14:textId="25D7103A" w:rsidR="002C3A39" w:rsidRDefault="00277A21" w:rsidP="00605616">
      <w:pPr>
        <w:rPr>
          <w:rFonts w:ascii="Arial" w:hAnsi="Arial" w:cs="Arial"/>
          <w:sz w:val="24"/>
          <w:szCs w:val="24"/>
        </w:rPr>
      </w:pPr>
      <w:r w:rsidRPr="000B1FEB">
        <w:rPr>
          <w:rFonts w:ascii="Arial" w:hAnsi="Arial" w:cs="Arial"/>
          <w:sz w:val="24"/>
          <w:szCs w:val="24"/>
        </w:rPr>
        <w:t xml:space="preserve">Slide 9 - </w:t>
      </w:r>
      <w:r w:rsidR="00605616" w:rsidRPr="000B1FEB">
        <w:rPr>
          <w:rFonts w:ascii="Arial" w:hAnsi="Arial" w:cs="Arial"/>
          <w:sz w:val="24"/>
          <w:szCs w:val="24"/>
        </w:rPr>
        <w:t xml:space="preserve">A gendered analysis of domestic </w:t>
      </w:r>
      <w:proofErr w:type="gramStart"/>
      <w:r w:rsidR="00605616" w:rsidRPr="000B1FEB">
        <w:rPr>
          <w:rFonts w:ascii="Arial" w:hAnsi="Arial" w:cs="Arial"/>
          <w:sz w:val="24"/>
          <w:szCs w:val="24"/>
        </w:rPr>
        <w:t>abuse  helps</w:t>
      </w:r>
      <w:proofErr w:type="gramEnd"/>
      <w:r w:rsidR="00605616" w:rsidRPr="000B1FEB">
        <w:rPr>
          <w:rFonts w:ascii="Arial" w:hAnsi="Arial" w:cs="Arial"/>
          <w:sz w:val="24"/>
          <w:szCs w:val="24"/>
        </w:rPr>
        <w:t xml:space="preserve"> us understand why women may be more at risk.</w:t>
      </w:r>
      <w:r w:rsidR="0057633B">
        <w:rPr>
          <w:rFonts w:ascii="Arial" w:hAnsi="Arial" w:cs="Arial"/>
          <w:sz w:val="24"/>
          <w:szCs w:val="24"/>
        </w:rPr>
        <w:t xml:space="preserve">  </w:t>
      </w:r>
      <w:r w:rsidR="0057633B" w:rsidRPr="0057633B">
        <w:rPr>
          <w:rFonts w:ascii="Arial" w:hAnsi="Arial" w:cs="Arial"/>
          <w:sz w:val="24"/>
          <w:szCs w:val="24"/>
        </w:rPr>
        <w:t>Gender refers to the attitudes and behaviour that society expects of men and women. These expectations are often subtle, seen as ‘normal’ and accepted as the ‘way things are’.</w:t>
      </w:r>
    </w:p>
    <w:p w14:paraId="1C678059" w14:textId="0B3AE565" w:rsidR="00605616" w:rsidRPr="002C3A39" w:rsidRDefault="00605616" w:rsidP="002C3A39">
      <w:pPr>
        <w:pStyle w:val="ListParagraph"/>
        <w:numPr>
          <w:ilvl w:val="0"/>
          <w:numId w:val="1"/>
        </w:numPr>
        <w:rPr>
          <w:rFonts w:ascii="Arial" w:hAnsi="Arial" w:cs="Arial"/>
          <w:sz w:val="24"/>
          <w:szCs w:val="24"/>
        </w:rPr>
      </w:pPr>
      <w:r w:rsidRPr="002C3A39">
        <w:rPr>
          <w:rFonts w:ascii="Arial" w:hAnsi="Arial" w:cs="Arial"/>
          <w:sz w:val="24"/>
          <w:szCs w:val="24"/>
        </w:rPr>
        <w:t xml:space="preserve">such violence cannot be understood, therefore, in isolation from the norms, social structure and gender roles within the community, which greatly influence women's vulnerability to </w:t>
      </w:r>
      <w:proofErr w:type="gramStart"/>
      <w:r w:rsidRPr="002C3A39">
        <w:rPr>
          <w:rFonts w:ascii="Arial" w:hAnsi="Arial" w:cs="Arial"/>
          <w:sz w:val="24"/>
          <w:szCs w:val="24"/>
        </w:rPr>
        <w:t>violence.‘</w:t>
      </w:r>
      <w:proofErr w:type="gramEnd"/>
    </w:p>
    <w:p w14:paraId="3A775988" w14:textId="22978944" w:rsidR="00277A21" w:rsidRPr="002C3A39" w:rsidRDefault="00605616" w:rsidP="002C3A39">
      <w:pPr>
        <w:pStyle w:val="ListParagraph"/>
        <w:numPr>
          <w:ilvl w:val="0"/>
          <w:numId w:val="1"/>
        </w:numPr>
        <w:rPr>
          <w:rFonts w:ascii="Arial" w:hAnsi="Arial" w:cs="Arial"/>
          <w:sz w:val="24"/>
          <w:szCs w:val="24"/>
        </w:rPr>
      </w:pPr>
      <w:r w:rsidRPr="002C3A39">
        <w:rPr>
          <w:rFonts w:ascii="Arial" w:hAnsi="Arial" w:cs="Arial"/>
          <w:sz w:val="24"/>
          <w:szCs w:val="24"/>
        </w:rPr>
        <w:t>Approaches which do not recognise the influence of gender in everyday experiences fail both men and women. Assumptions that experiences of men and women are equivalent will not achieve equality of outcome.</w:t>
      </w:r>
    </w:p>
    <w:p w14:paraId="69E87FDE" w14:textId="77777777" w:rsidR="000B1FEB" w:rsidRPr="000B1FEB" w:rsidRDefault="000B1FEB" w:rsidP="000B1FEB">
      <w:pPr>
        <w:rPr>
          <w:rFonts w:ascii="Arial" w:hAnsi="Arial" w:cs="Arial"/>
          <w:sz w:val="24"/>
          <w:szCs w:val="24"/>
        </w:rPr>
      </w:pPr>
      <w:r w:rsidRPr="000B1FEB">
        <w:rPr>
          <w:rFonts w:ascii="Arial" w:hAnsi="Arial" w:cs="Arial"/>
          <w:sz w:val="24"/>
          <w:szCs w:val="24"/>
        </w:rPr>
        <w:t>Slide 10 - DA is pervasive both personally and professionally</w:t>
      </w:r>
    </w:p>
    <w:p w14:paraId="177E4B4E" w14:textId="77777777" w:rsidR="000B1FEB" w:rsidRPr="000B1FEB" w:rsidRDefault="000B1FEB" w:rsidP="000B1FEB">
      <w:pPr>
        <w:rPr>
          <w:rFonts w:ascii="Arial" w:hAnsi="Arial" w:cs="Arial"/>
          <w:sz w:val="24"/>
          <w:szCs w:val="24"/>
        </w:rPr>
      </w:pPr>
      <w:r w:rsidRPr="000B1FEB">
        <w:rPr>
          <w:rFonts w:ascii="Arial" w:hAnsi="Arial" w:cs="Arial"/>
          <w:sz w:val="24"/>
          <w:szCs w:val="24"/>
        </w:rPr>
        <w:t>These are incidents – only physical violence</w:t>
      </w:r>
    </w:p>
    <w:p w14:paraId="2A79BB77" w14:textId="47D71386" w:rsidR="000B1FEB" w:rsidRDefault="000B1FEB" w:rsidP="000B1FEB">
      <w:pPr>
        <w:rPr>
          <w:rFonts w:ascii="Arial" w:hAnsi="Arial" w:cs="Arial"/>
          <w:sz w:val="24"/>
          <w:szCs w:val="24"/>
        </w:rPr>
      </w:pPr>
      <w:r w:rsidRPr="000B1FEB">
        <w:rPr>
          <w:rFonts w:ascii="Arial" w:hAnsi="Arial" w:cs="Arial"/>
          <w:sz w:val="24"/>
          <w:szCs w:val="24"/>
        </w:rPr>
        <w:t>Only police stats</w:t>
      </w:r>
    </w:p>
    <w:p w14:paraId="2114C436" w14:textId="071886C0" w:rsidR="00AF0A3E" w:rsidRDefault="00AF0A3E" w:rsidP="000B1FEB">
      <w:pPr>
        <w:rPr>
          <w:rFonts w:ascii="Arial" w:hAnsi="Arial" w:cs="Arial"/>
          <w:sz w:val="24"/>
          <w:szCs w:val="24"/>
        </w:rPr>
      </w:pPr>
      <w:r>
        <w:rPr>
          <w:rFonts w:ascii="Arial" w:hAnsi="Arial" w:cs="Arial"/>
          <w:sz w:val="24"/>
          <w:szCs w:val="24"/>
        </w:rPr>
        <w:t xml:space="preserve">Slide 11 </w:t>
      </w:r>
      <w:r w:rsidR="009738EA">
        <w:rPr>
          <w:rFonts w:ascii="Arial" w:hAnsi="Arial" w:cs="Arial"/>
          <w:sz w:val="24"/>
          <w:szCs w:val="24"/>
        </w:rPr>
        <w:t>–</w:t>
      </w:r>
      <w:r>
        <w:rPr>
          <w:rFonts w:ascii="Arial" w:hAnsi="Arial" w:cs="Arial"/>
          <w:sz w:val="24"/>
          <w:szCs w:val="24"/>
        </w:rPr>
        <w:t xml:space="preserve"> </w:t>
      </w:r>
      <w:r w:rsidR="00772461">
        <w:rPr>
          <w:rFonts w:ascii="Arial" w:hAnsi="Arial" w:cs="Arial"/>
          <w:sz w:val="24"/>
          <w:szCs w:val="24"/>
        </w:rPr>
        <w:t>remember occasional indulgence – provides motivation for compliance</w:t>
      </w:r>
    </w:p>
    <w:p w14:paraId="06F11C9A" w14:textId="45512A97" w:rsidR="009738EA" w:rsidRDefault="009738EA" w:rsidP="000B1FEB">
      <w:pPr>
        <w:rPr>
          <w:rFonts w:ascii="Arial" w:hAnsi="Arial" w:cs="Arial"/>
          <w:sz w:val="24"/>
          <w:szCs w:val="24"/>
        </w:rPr>
      </w:pPr>
      <w:r>
        <w:rPr>
          <w:rFonts w:ascii="Arial" w:hAnsi="Arial" w:cs="Arial"/>
          <w:sz w:val="24"/>
          <w:szCs w:val="24"/>
        </w:rPr>
        <w:t xml:space="preserve">Slide 12 – </w:t>
      </w:r>
      <w:r w:rsidRPr="009738EA">
        <w:rPr>
          <w:rFonts w:ascii="Arial" w:hAnsi="Arial" w:cs="Arial"/>
          <w:b/>
          <w:sz w:val="24"/>
          <w:szCs w:val="24"/>
        </w:rPr>
        <w:t>Coercive control</w:t>
      </w:r>
      <w:r>
        <w:rPr>
          <w:rFonts w:ascii="Arial" w:hAnsi="Arial" w:cs="Arial"/>
          <w:sz w:val="24"/>
          <w:szCs w:val="24"/>
        </w:rPr>
        <w:t xml:space="preserve"> - </w:t>
      </w:r>
      <w:r w:rsidRPr="009738EA">
        <w:rPr>
          <w:rFonts w:ascii="Arial" w:hAnsi="Arial" w:cs="Arial"/>
          <w:sz w:val="24"/>
          <w:szCs w:val="24"/>
        </w:rPr>
        <w:t xml:space="preserve">As individual actions these behaviours some might dismiss </w:t>
      </w:r>
      <w:proofErr w:type="gramStart"/>
      <w:r w:rsidRPr="009738EA">
        <w:rPr>
          <w:rFonts w:ascii="Arial" w:hAnsi="Arial" w:cs="Arial"/>
          <w:sz w:val="24"/>
          <w:szCs w:val="24"/>
        </w:rPr>
        <w:t>as  ‘</w:t>
      </w:r>
      <w:proofErr w:type="gramEnd"/>
      <w:r w:rsidRPr="009738EA">
        <w:rPr>
          <w:rFonts w:ascii="Arial" w:hAnsi="Arial" w:cs="Arial"/>
          <w:sz w:val="24"/>
          <w:szCs w:val="24"/>
        </w:rPr>
        <w:t>insignificant’’ but they are constantly repeated with malice and end up oppressing and conditioning those on the receiving end</w:t>
      </w:r>
      <w:r w:rsidR="009D4A9B">
        <w:rPr>
          <w:rFonts w:ascii="Arial" w:hAnsi="Arial" w:cs="Arial"/>
          <w:sz w:val="24"/>
          <w:szCs w:val="24"/>
        </w:rPr>
        <w:t>.  Cumulative effect</w:t>
      </w:r>
    </w:p>
    <w:p w14:paraId="507A0C4A" w14:textId="336975FC" w:rsidR="005D0548" w:rsidRDefault="005D0548" w:rsidP="00DB2445">
      <w:pPr>
        <w:rPr>
          <w:rFonts w:ascii="Arial" w:hAnsi="Arial" w:cs="Arial"/>
          <w:sz w:val="24"/>
          <w:szCs w:val="24"/>
        </w:rPr>
      </w:pPr>
      <w:r>
        <w:rPr>
          <w:rFonts w:ascii="Arial" w:hAnsi="Arial" w:cs="Arial"/>
          <w:sz w:val="24"/>
          <w:szCs w:val="24"/>
        </w:rPr>
        <w:lastRenderedPageBreak/>
        <w:t xml:space="preserve">Slide 13 - </w:t>
      </w:r>
      <w:r w:rsidR="00DB2445" w:rsidRPr="00DB2445">
        <w:rPr>
          <w:rFonts w:ascii="Arial" w:hAnsi="Arial" w:cs="Arial"/>
          <w:sz w:val="24"/>
          <w:szCs w:val="24"/>
        </w:rPr>
        <w:t>Subversive –entrapment</w:t>
      </w:r>
      <w:r w:rsidR="00DB2445">
        <w:rPr>
          <w:rFonts w:ascii="Arial" w:hAnsi="Arial" w:cs="Arial"/>
          <w:sz w:val="24"/>
          <w:szCs w:val="24"/>
        </w:rPr>
        <w:t xml:space="preserve">, </w:t>
      </w:r>
      <w:r w:rsidR="00DB2445" w:rsidRPr="00DB2445">
        <w:rPr>
          <w:rFonts w:ascii="Arial" w:hAnsi="Arial" w:cs="Arial"/>
          <w:sz w:val="24"/>
          <w:szCs w:val="24"/>
        </w:rPr>
        <w:t>Authority – services</w:t>
      </w:r>
      <w:r w:rsidR="00DB2445">
        <w:rPr>
          <w:rFonts w:ascii="Arial" w:hAnsi="Arial" w:cs="Arial"/>
          <w:sz w:val="24"/>
          <w:szCs w:val="24"/>
        </w:rPr>
        <w:t xml:space="preserve">, </w:t>
      </w:r>
      <w:r w:rsidR="00DB2445" w:rsidRPr="00DB2445">
        <w:rPr>
          <w:rFonts w:ascii="Arial" w:hAnsi="Arial" w:cs="Arial"/>
          <w:sz w:val="24"/>
          <w:szCs w:val="24"/>
        </w:rPr>
        <w:t>Individual men tapping into history</w:t>
      </w:r>
      <w:r w:rsidR="00DB2445">
        <w:rPr>
          <w:rFonts w:ascii="Arial" w:hAnsi="Arial" w:cs="Arial"/>
          <w:sz w:val="24"/>
          <w:szCs w:val="24"/>
        </w:rPr>
        <w:t xml:space="preserve"> </w:t>
      </w:r>
      <w:proofErr w:type="spellStart"/>
      <w:r w:rsidR="00DB2445" w:rsidRPr="00DB2445">
        <w:rPr>
          <w:rFonts w:ascii="Arial" w:hAnsi="Arial" w:cs="Arial"/>
          <w:sz w:val="24"/>
          <w:szCs w:val="24"/>
        </w:rPr>
        <w:t>Patriachal</w:t>
      </w:r>
      <w:proofErr w:type="spellEnd"/>
      <w:r w:rsidR="00DB2445" w:rsidRPr="00DB2445">
        <w:rPr>
          <w:rFonts w:ascii="Arial" w:hAnsi="Arial" w:cs="Arial"/>
          <w:sz w:val="24"/>
          <w:szCs w:val="24"/>
        </w:rPr>
        <w:t xml:space="preserve"> society – society structures – master in his home</w:t>
      </w:r>
      <w:r w:rsidR="00454B5F">
        <w:rPr>
          <w:rFonts w:ascii="Arial" w:hAnsi="Arial" w:cs="Arial"/>
          <w:sz w:val="24"/>
          <w:szCs w:val="24"/>
        </w:rPr>
        <w:t>.  Removing choices</w:t>
      </w:r>
      <w:r w:rsidR="00E6507B">
        <w:rPr>
          <w:rFonts w:ascii="Arial" w:hAnsi="Arial" w:cs="Arial"/>
          <w:sz w:val="24"/>
          <w:szCs w:val="24"/>
        </w:rPr>
        <w:t>.</w:t>
      </w:r>
    </w:p>
    <w:p w14:paraId="46DC25F1" w14:textId="3DEB1B6F" w:rsidR="00256816" w:rsidRDefault="00256816" w:rsidP="00DB2445">
      <w:pPr>
        <w:rPr>
          <w:rFonts w:ascii="Arial" w:hAnsi="Arial" w:cs="Arial"/>
          <w:sz w:val="24"/>
          <w:szCs w:val="24"/>
        </w:rPr>
      </w:pPr>
      <w:r>
        <w:rPr>
          <w:rFonts w:ascii="Arial" w:hAnsi="Arial" w:cs="Arial"/>
          <w:sz w:val="24"/>
          <w:szCs w:val="24"/>
        </w:rPr>
        <w:t xml:space="preserve">Slide 14 – </w:t>
      </w:r>
    </w:p>
    <w:p w14:paraId="6E7069AB" w14:textId="006BED50" w:rsidR="00256816" w:rsidRDefault="00256816" w:rsidP="00DB2445">
      <w:pPr>
        <w:rPr>
          <w:rFonts w:ascii="Arial" w:hAnsi="Arial" w:cs="Arial"/>
          <w:sz w:val="24"/>
          <w:szCs w:val="24"/>
        </w:rPr>
      </w:pPr>
      <w:r>
        <w:rPr>
          <w:rFonts w:ascii="Arial" w:hAnsi="Arial" w:cs="Arial"/>
          <w:sz w:val="24"/>
          <w:szCs w:val="24"/>
        </w:rPr>
        <w:t>Slide 15</w:t>
      </w:r>
    </w:p>
    <w:p w14:paraId="7AC876E6" w14:textId="016D5113" w:rsidR="004371AF" w:rsidRDefault="00256816" w:rsidP="00DB2445">
      <w:pPr>
        <w:rPr>
          <w:rFonts w:ascii="Arial" w:hAnsi="Arial" w:cs="Arial"/>
          <w:sz w:val="24"/>
          <w:szCs w:val="24"/>
        </w:rPr>
      </w:pPr>
      <w:r>
        <w:rPr>
          <w:rFonts w:ascii="Arial" w:hAnsi="Arial" w:cs="Arial"/>
          <w:sz w:val="24"/>
          <w:szCs w:val="24"/>
        </w:rPr>
        <w:t>Slide 16</w:t>
      </w:r>
      <w:r w:rsidR="00677893">
        <w:rPr>
          <w:rFonts w:ascii="Arial" w:hAnsi="Arial" w:cs="Arial"/>
          <w:sz w:val="24"/>
          <w:szCs w:val="24"/>
        </w:rPr>
        <w:t xml:space="preserve">  </w:t>
      </w:r>
      <w:proofErr w:type="spellStart"/>
      <w:r w:rsidR="00677893" w:rsidRPr="00677893">
        <w:rPr>
          <w:rFonts w:ascii="Arial" w:hAnsi="Arial" w:cs="Arial"/>
          <w:sz w:val="24"/>
          <w:szCs w:val="24"/>
        </w:rPr>
        <w:t>Mens</w:t>
      </w:r>
      <w:proofErr w:type="spellEnd"/>
      <w:r w:rsidR="00677893" w:rsidRPr="00677893">
        <w:rPr>
          <w:rFonts w:ascii="Arial" w:hAnsi="Arial" w:cs="Arial"/>
          <w:sz w:val="24"/>
          <w:szCs w:val="24"/>
        </w:rPr>
        <w:t xml:space="preserve"> Rea is Latin,   and is the mental element of a person's intention to commit a crime; or knowledge that one's action or lack of action would cause a crime to be committed.  </w:t>
      </w:r>
      <w:r w:rsidR="009D4A9B">
        <w:rPr>
          <w:rFonts w:ascii="Arial" w:hAnsi="Arial" w:cs="Arial"/>
          <w:sz w:val="24"/>
          <w:szCs w:val="24"/>
        </w:rPr>
        <w:t>Liberty Crime</w:t>
      </w:r>
    </w:p>
    <w:p w14:paraId="547F3C01" w14:textId="3504ED89" w:rsidR="001D6EBA" w:rsidRDefault="004D20CB" w:rsidP="00DB2445">
      <w:pPr>
        <w:rPr>
          <w:rFonts w:ascii="Arial" w:hAnsi="Arial" w:cs="Arial"/>
          <w:color w:val="FF0000"/>
          <w:sz w:val="24"/>
          <w:szCs w:val="24"/>
        </w:rPr>
      </w:pPr>
      <w:r>
        <w:rPr>
          <w:rFonts w:ascii="Arial" w:hAnsi="Arial" w:cs="Arial"/>
          <w:color w:val="FF0000"/>
          <w:sz w:val="24"/>
          <w:szCs w:val="24"/>
        </w:rPr>
        <w:t>Liz Kelly – Space for Action – see in reports folder</w:t>
      </w:r>
    </w:p>
    <w:p w14:paraId="03F6BA96" w14:textId="77777777" w:rsidR="00CB0216" w:rsidRPr="00CB0216" w:rsidRDefault="00CB0216" w:rsidP="00CB0216">
      <w:pPr>
        <w:rPr>
          <w:rFonts w:ascii="Arial" w:hAnsi="Arial" w:cs="Arial"/>
          <w:color w:val="FF0000"/>
          <w:sz w:val="24"/>
          <w:szCs w:val="24"/>
        </w:rPr>
      </w:pPr>
      <w:r w:rsidRPr="00CB0216">
        <w:rPr>
          <w:rFonts w:ascii="Arial" w:hAnsi="Arial" w:cs="Arial"/>
          <w:color w:val="FF0000"/>
          <w:sz w:val="24"/>
          <w:szCs w:val="24"/>
        </w:rPr>
        <w:t>The impact of living in an abusive household gender regime is that women (and children) adapt their behaviour to cope</w:t>
      </w:r>
    </w:p>
    <w:p w14:paraId="2B60BF12" w14:textId="77777777" w:rsidR="00CB0216" w:rsidRPr="00CB0216" w:rsidRDefault="00CB0216" w:rsidP="00CB0216">
      <w:pPr>
        <w:rPr>
          <w:rFonts w:ascii="Arial" w:hAnsi="Arial" w:cs="Arial"/>
          <w:color w:val="FF0000"/>
          <w:sz w:val="24"/>
          <w:szCs w:val="24"/>
        </w:rPr>
      </w:pPr>
      <w:r w:rsidRPr="00CB0216">
        <w:rPr>
          <w:rFonts w:ascii="Arial" w:hAnsi="Arial" w:cs="Arial"/>
          <w:color w:val="FF0000"/>
          <w:sz w:val="24"/>
          <w:szCs w:val="24"/>
        </w:rPr>
        <w:t>Their thinking and actions are narrowed, as they attempt to live and be his version of who they should be</w:t>
      </w:r>
    </w:p>
    <w:p w14:paraId="398EE051" w14:textId="77777777" w:rsidR="00CB0216" w:rsidRPr="00CB0216" w:rsidRDefault="00CB0216" w:rsidP="00CB0216">
      <w:pPr>
        <w:rPr>
          <w:rFonts w:ascii="Arial" w:hAnsi="Arial" w:cs="Arial"/>
          <w:color w:val="FF0000"/>
          <w:sz w:val="24"/>
          <w:szCs w:val="24"/>
        </w:rPr>
      </w:pPr>
      <w:r w:rsidRPr="00CB0216">
        <w:rPr>
          <w:rFonts w:ascii="Arial" w:hAnsi="Arial" w:cs="Arial"/>
          <w:color w:val="FF0000"/>
          <w:sz w:val="24"/>
          <w:szCs w:val="24"/>
        </w:rPr>
        <w:t>If interventions are not appropriate the web tightens</w:t>
      </w:r>
    </w:p>
    <w:p w14:paraId="394067E8" w14:textId="77777777" w:rsidR="00CB0216" w:rsidRPr="00CB0216" w:rsidRDefault="00CB0216" w:rsidP="00CB0216">
      <w:pPr>
        <w:rPr>
          <w:rFonts w:ascii="Arial" w:hAnsi="Arial" w:cs="Arial"/>
          <w:color w:val="FF0000"/>
          <w:sz w:val="24"/>
          <w:szCs w:val="24"/>
        </w:rPr>
      </w:pPr>
      <w:r w:rsidRPr="00CB0216">
        <w:rPr>
          <w:rFonts w:ascii="Arial" w:hAnsi="Arial" w:cs="Arial"/>
          <w:color w:val="FF0000"/>
          <w:sz w:val="24"/>
          <w:szCs w:val="24"/>
        </w:rPr>
        <w:t>It becomes harder and harder to imagine life outside of this control, what it is to have freedom of thought and action</w:t>
      </w:r>
    </w:p>
    <w:p w14:paraId="19195F57" w14:textId="76DEF902" w:rsidR="00CB0216" w:rsidRPr="004D20CB" w:rsidRDefault="00CB0216" w:rsidP="00CB0216">
      <w:pPr>
        <w:rPr>
          <w:rFonts w:ascii="Arial" w:hAnsi="Arial" w:cs="Arial"/>
          <w:color w:val="FF0000"/>
          <w:sz w:val="24"/>
          <w:szCs w:val="24"/>
        </w:rPr>
      </w:pPr>
      <w:r w:rsidRPr="00CB0216">
        <w:rPr>
          <w:rFonts w:ascii="Arial" w:hAnsi="Arial" w:cs="Arial"/>
          <w:color w:val="FF0000"/>
          <w:sz w:val="24"/>
          <w:szCs w:val="24"/>
        </w:rPr>
        <w:t>We call this limiting space for action</w:t>
      </w:r>
    </w:p>
    <w:p w14:paraId="48275DBA" w14:textId="2CF34785" w:rsidR="0056544C" w:rsidRPr="0056544C" w:rsidRDefault="0056544C" w:rsidP="0056544C">
      <w:pPr>
        <w:rPr>
          <w:rFonts w:ascii="Arial" w:hAnsi="Arial" w:cs="Arial"/>
          <w:sz w:val="24"/>
          <w:szCs w:val="24"/>
        </w:rPr>
      </w:pPr>
      <w:r>
        <w:rPr>
          <w:rFonts w:ascii="Arial" w:hAnsi="Arial" w:cs="Arial"/>
          <w:sz w:val="24"/>
          <w:szCs w:val="24"/>
        </w:rPr>
        <w:t xml:space="preserve">Slide 17 </w:t>
      </w:r>
      <w:proofErr w:type="gramStart"/>
      <w:r>
        <w:rPr>
          <w:rFonts w:ascii="Arial" w:hAnsi="Arial" w:cs="Arial"/>
          <w:sz w:val="24"/>
          <w:szCs w:val="24"/>
        </w:rPr>
        <w:t xml:space="preserve">- </w:t>
      </w:r>
      <w:r w:rsidRPr="0056544C">
        <w:rPr>
          <w:rFonts w:ascii="Arial" w:hAnsi="Arial" w:cs="Arial"/>
          <w:sz w:val="24"/>
          <w:szCs w:val="24"/>
        </w:rPr>
        <w:t xml:space="preserve"> argues</w:t>
      </w:r>
      <w:proofErr w:type="gramEnd"/>
      <w:r w:rsidRPr="0056544C">
        <w:rPr>
          <w:rFonts w:ascii="Arial" w:hAnsi="Arial" w:cs="Arial"/>
          <w:sz w:val="24"/>
          <w:szCs w:val="24"/>
        </w:rPr>
        <w:t xml:space="preserve"> that break down the violence – typology of violence in </w:t>
      </w:r>
      <w:r>
        <w:rPr>
          <w:rFonts w:ascii="Arial" w:hAnsi="Arial" w:cs="Arial"/>
          <w:sz w:val="24"/>
          <w:szCs w:val="24"/>
        </w:rPr>
        <w:t>in</w:t>
      </w:r>
      <w:r w:rsidRPr="0056544C">
        <w:rPr>
          <w:rFonts w:ascii="Arial" w:hAnsi="Arial" w:cs="Arial"/>
          <w:sz w:val="24"/>
          <w:szCs w:val="24"/>
        </w:rPr>
        <w:t>terpersonal relationships</w:t>
      </w:r>
    </w:p>
    <w:p w14:paraId="294387BB" w14:textId="77777777" w:rsidR="0056544C" w:rsidRPr="0056544C" w:rsidRDefault="0056544C" w:rsidP="0056544C">
      <w:pPr>
        <w:pStyle w:val="ListParagraph"/>
        <w:numPr>
          <w:ilvl w:val="0"/>
          <w:numId w:val="2"/>
        </w:numPr>
        <w:rPr>
          <w:rFonts w:ascii="Arial" w:hAnsi="Arial" w:cs="Arial"/>
          <w:sz w:val="24"/>
          <w:szCs w:val="24"/>
        </w:rPr>
      </w:pPr>
      <w:r w:rsidRPr="0056544C">
        <w:rPr>
          <w:rFonts w:ascii="Arial" w:hAnsi="Arial" w:cs="Arial"/>
          <w:sz w:val="24"/>
          <w:szCs w:val="24"/>
        </w:rPr>
        <w:t>Situational couple violence – in the moment, not exert control</w:t>
      </w:r>
    </w:p>
    <w:p w14:paraId="1069BB29" w14:textId="6F98C4AF" w:rsidR="00256816" w:rsidRDefault="0056544C" w:rsidP="0056544C">
      <w:pPr>
        <w:pStyle w:val="ListParagraph"/>
        <w:numPr>
          <w:ilvl w:val="0"/>
          <w:numId w:val="2"/>
        </w:numPr>
        <w:rPr>
          <w:rFonts w:ascii="Arial" w:hAnsi="Arial" w:cs="Arial"/>
          <w:sz w:val="24"/>
          <w:szCs w:val="24"/>
        </w:rPr>
      </w:pPr>
      <w:r w:rsidRPr="0056544C">
        <w:rPr>
          <w:rFonts w:ascii="Arial" w:hAnsi="Arial" w:cs="Arial"/>
          <w:sz w:val="24"/>
          <w:szCs w:val="24"/>
        </w:rPr>
        <w:t xml:space="preserve">Intermate terrorism – generate fear – </w:t>
      </w:r>
      <w:proofErr w:type="spellStart"/>
      <w:r w:rsidRPr="0056544C">
        <w:rPr>
          <w:rFonts w:ascii="Arial" w:hAnsi="Arial" w:cs="Arial"/>
          <w:sz w:val="24"/>
          <w:szCs w:val="24"/>
        </w:rPr>
        <w:t>eg</w:t>
      </w:r>
      <w:proofErr w:type="spellEnd"/>
      <w:r w:rsidRPr="0056544C">
        <w:rPr>
          <w:rFonts w:ascii="Arial" w:hAnsi="Arial" w:cs="Arial"/>
          <w:sz w:val="24"/>
          <w:szCs w:val="24"/>
        </w:rPr>
        <w:t xml:space="preserve"> terrorist – intimidate, isolate, when to eat, toilet – must comply – hostage – </w:t>
      </w:r>
      <w:proofErr w:type="spellStart"/>
      <w:r w:rsidRPr="0056544C">
        <w:rPr>
          <w:rFonts w:ascii="Arial" w:hAnsi="Arial" w:cs="Arial"/>
          <w:sz w:val="24"/>
          <w:szCs w:val="24"/>
        </w:rPr>
        <w:t>eg</w:t>
      </w:r>
      <w:proofErr w:type="spellEnd"/>
      <w:r w:rsidRPr="0056544C">
        <w:rPr>
          <w:rFonts w:ascii="Arial" w:hAnsi="Arial" w:cs="Arial"/>
          <w:sz w:val="24"/>
          <w:szCs w:val="24"/>
        </w:rPr>
        <w:t xml:space="preserve"> of flicking of lighter </w:t>
      </w:r>
      <w:r w:rsidR="00C924B3">
        <w:rPr>
          <w:rFonts w:ascii="Arial" w:hAnsi="Arial" w:cs="Arial"/>
          <w:sz w:val="24"/>
          <w:szCs w:val="24"/>
        </w:rPr>
        <w:t>–</w:t>
      </w:r>
      <w:r w:rsidRPr="0056544C">
        <w:rPr>
          <w:rFonts w:ascii="Arial" w:hAnsi="Arial" w:cs="Arial"/>
          <w:sz w:val="24"/>
          <w:szCs w:val="24"/>
        </w:rPr>
        <w:t xml:space="preserve"> threat</w:t>
      </w:r>
      <w:r w:rsidR="005C08C5">
        <w:rPr>
          <w:rFonts w:ascii="Arial" w:hAnsi="Arial" w:cs="Arial"/>
          <w:sz w:val="24"/>
          <w:szCs w:val="24"/>
        </w:rPr>
        <w:t>.  This is DA</w:t>
      </w:r>
    </w:p>
    <w:p w14:paraId="11BC529D" w14:textId="46DDF3CE" w:rsidR="00FD617A" w:rsidRPr="00FD617A" w:rsidRDefault="008F51A4" w:rsidP="00FD617A">
      <w:pPr>
        <w:pStyle w:val="ListParagraph"/>
        <w:rPr>
          <w:rFonts w:ascii="Arial" w:hAnsi="Arial" w:cs="Arial"/>
          <w:color w:val="FF0000"/>
          <w:sz w:val="24"/>
          <w:szCs w:val="24"/>
        </w:rPr>
      </w:pPr>
      <w:r>
        <w:rPr>
          <w:rFonts w:ascii="Arial" w:hAnsi="Arial" w:cs="Arial"/>
          <w:color w:val="FF0000"/>
          <w:sz w:val="24"/>
          <w:szCs w:val="24"/>
        </w:rPr>
        <w:t xml:space="preserve">2 slides on </w:t>
      </w:r>
      <w:proofErr w:type="spellStart"/>
      <w:r>
        <w:rPr>
          <w:rFonts w:ascii="Arial" w:hAnsi="Arial" w:cs="Arial"/>
          <w:color w:val="FF0000"/>
          <w:sz w:val="24"/>
          <w:szCs w:val="24"/>
        </w:rPr>
        <w:t>johnson</w:t>
      </w:r>
      <w:proofErr w:type="spellEnd"/>
      <w:r>
        <w:rPr>
          <w:rFonts w:ascii="Arial" w:hAnsi="Arial" w:cs="Arial"/>
          <w:color w:val="FF0000"/>
          <w:sz w:val="24"/>
          <w:szCs w:val="24"/>
        </w:rPr>
        <w:t xml:space="preserve"> then refer to the Everyday Terrorism Report</w:t>
      </w:r>
    </w:p>
    <w:p w14:paraId="080EE576" w14:textId="7258A512" w:rsidR="00C924B3" w:rsidRDefault="00E57DEA" w:rsidP="00C924B3">
      <w:pPr>
        <w:rPr>
          <w:rFonts w:ascii="Arial" w:hAnsi="Arial" w:cs="Arial"/>
          <w:sz w:val="24"/>
          <w:szCs w:val="24"/>
        </w:rPr>
      </w:pPr>
      <w:r>
        <w:rPr>
          <w:rFonts w:ascii="Arial" w:hAnsi="Arial" w:cs="Arial"/>
          <w:sz w:val="24"/>
          <w:szCs w:val="24"/>
        </w:rPr>
        <w:t xml:space="preserve">Slide 18 – </w:t>
      </w:r>
    </w:p>
    <w:p w14:paraId="4432F1A2" w14:textId="3AC7D93B" w:rsidR="00E57DEA" w:rsidRDefault="00E57DEA" w:rsidP="00C924B3">
      <w:pPr>
        <w:rPr>
          <w:rFonts w:ascii="Arial" w:hAnsi="Arial" w:cs="Arial"/>
          <w:sz w:val="24"/>
          <w:szCs w:val="24"/>
        </w:rPr>
      </w:pPr>
      <w:r>
        <w:rPr>
          <w:rFonts w:ascii="Arial" w:hAnsi="Arial" w:cs="Arial"/>
          <w:sz w:val="24"/>
          <w:szCs w:val="24"/>
        </w:rPr>
        <w:t xml:space="preserve">Slide 19 – </w:t>
      </w:r>
    </w:p>
    <w:p w14:paraId="03302738" w14:textId="1A25E82E" w:rsidR="00E57DEA" w:rsidRDefault="00E57DEA" w:rsidP="00C924B3">
      <w:pPr>
        <w:rPr>
          <w:rFonts w:ascii="Arial" w:hAnsi="Arial" w:cs="Arial"/>
          <w:sz w:val="24"/>
          <w:szCs w:val="24"/>
        </w:rPr>
      </w:pPr>
      <w:r>
        <w:rPr>
          <w:rFonts w:ascii="Arial" w:hAnsi="Arial" w:cs="Arial"/>
          <w:sz w:val="24"/>
          <w:szCs w:val="24"/>
        </w:rPr>
        <w:t xml:space="preserve">Slide 20 - </w:t>
      </w:r>
      <w:r w:rsidR="00C310D2" w:rsidRPr="00C310D2">
        <w:rPr>
          <w:rFonts w:ascii="Arial" w:hAnsi="Arial" w:cs="Arial"/>
          <w:sz w:val="24"/>
          <w:szCs w:val="24"/>
        </w:rPr>
        <w:t>The latest Femicide Census found that 55% of women killed by their ex-partner or ex-spouse were killed within the first month of separation and 87% in the first year.</w:t>
      </w:r>
    </w:p>
    <w:p w14:paraId="1C3BEB75" w14:textId="2B23B4BC" w:rsidR="00285787" w:rsidRDefault="00285787" w:rsidP="00285787">
      <w:pPr>
        <w:rPr>
          <w:rFonts w:ascii="Arial" w:hAnsi="Arial" w:cs="Arial"/>
          <w:sz w:val="24"/>
          <w:szCs w:val="24"/>
        </w:rPr>
      </w:pPr>
      <w:r>
        <w:rPr>
          <w:rFonts w:ascii="Arial" w:hAnsi="Arial" w:cs="Arial"/>
          <w:sz w:val="24"/>
          <w:szCs w:val="24"/>
        </w:rPr>
        <w:t>Slide 2</w:t>
      </w:r>
      <w:r w:rsidR="00E326C0">
        <w:rPr>
          <w:rFonts w:ascii="Arial" w:hAnsi="Arial" w:cs="Arial"/>
          <w:sz w:val="24"/>
          <w:szCs w:val="24"/>
        </w:rPr>
        <w:t>8</w:t>
      </w:r>
      <w:r>
        <w:rPr>
          <w:rFonts w:ascii="Arial" w:hAnsi="Arial" w:cs="Arial"/>
          <w:sz w:val="24"/>
          <w:szCs w:val="24"/>
        </w:rPr>
        <w:t xml:space="preserve"> – </w:t>
      </w:r>
      <w:r w:rsidR="00E326C0">
        <w:rPr>
          <w:rFonts w:ascii="Arial" w:hAnsi="Arial" w:cs="Arial"/>
          <w:sz w:val="24"/>
          <w:szCs w:val="24"/>
        </w:rPr>
        <w:t>Intersectionality</w:t>
      </w:r>
      <w:r w:rsidR="00293B1E">
        <w:rPr>
          <w:rFonts w:ascii="Arial" w:hAnsi="Arial" w:cs="Arial"/>
          <w:sz w:val="24"/>
          <w:szCs w:val="24"/>
        </w:rPr>
        <w:t xml:space="preserve"> – interconnected nature of social categories of </w:t>
      </w:r>
      <w:r w:rsidR="00F433B1">
        <w:rPr>
          <w:rFonts w:ascii="Arial" w:hAnsi="Arial" w:cs="Arial"/>
          <w:sz w:val="24"/>
          <w:szCs w:val="24"/>
        </w:rPr>
        <w:t>discrimination and disadvantage</w:t>
      </w:r>
    </w:p>
    <w:p w14:paraId="2E9DC6C4" w14:textId="359B2735" w:rsidR="00285787" w:rsidRPr="00285787" w:rsidRDefault="00285787" w:rsidP="00285787">
      <w:pPr>
        <w:pStyle w:val="ListParagraph"/>
        <w:numPr>
          <w:ilvl w:val="0"/>
          <w:numId w:val="3"/>
        </w:numPr>
        <w:rPr>
          <w:rFonts w:ascii="Arial" w:hAnsi="Arial" w:cs="Arial"/>
          <w:sz w:val="24"/>
          <w:szCs w:val="24"/>
        </w:rPr>
      </w:pPr>
      <w:r w:rsidRPr="00285787">
        <w:rPr>
          <w:rFonts w:ascii="Arial" w:hAnsi="Arial" w:cs="Arial"/>
          <w:sz w:val="24"/>
          <w:szCs w:val="24"/>
        </w:rPr>
        <w:t xml:space="preserve">Physical disability, mental </w:t>
      </w:r>
      <w:proofErr w:type="gramStart"/>
      <w:r w:rsidRPr="00285787">
        <w:rPr>
          <w:rFonts w:ascii="Arial" w:hAnsi="Arial" w:cs="Arial"/>
          <w:sz w:val="24"/>
          <w:szCs w:val="24"/>
        </w:rPr>
        <w:t>health ,</w:t>
      </w:r>
      <w:proofErr w:type="gramEnd"/>
      <w:r w:rsidRPr="00285787">
        <w:rPr>
          <w:rFonts w:ascii="Arial" w:hAnsi="Arial" w:cs="Arial"/>
          <w:sz w:val="24"/>
          <w:szCs w:val="24"/>
        </w:rPr>
        <w:t xml:space="preserve"> learning disabilities</w:t>
      </w:r>
    </w:p>
    <w:p w14:paraId="0A997D50" w14:textId="34302228" w:rsidR="00285787" w:rsidRPr="00285787" w:rsidRDefault="00285787" w:rsidP="00285787">
      <w:pPr>
        <w:pStyle w:val="ListParagraph"/>
        <w:numPr>
          <w:ilvl w:val="0"/>
          <w:numId w:val="3"/>
        </w:numPr>
        <w:rPr>
          <w:rFonts w:ascii="Arial" w:hAnsi="Arial" w:cs="Arial"/>
          <w:sz w:val="24"/>
          <w:szCs w:val="24"/>
        </w:rPr>
      </w:pPr>
      <w:r w:rsidRPr="00285787">
        <w:rPr>
          <w:rFonts w:ascii="Arial" w:hAnsi="Arial" w:cs="Arial"/>
          <w:sz w:val="24"/>
          <w:szCs w:val="24"/>
        </w:rPr>
        <w:t>Women from BME backgrounds may be experiencing distrust of the police, concerns about racism, language barrier, fear of family finding out, fear of rejection from wider community, fear around confidentiality.      May fear impact to immigration status, may be threatened regarding immigration authorities, not being informed.</w:t>
      </w:r>
    </w:p>
    <w:p w14:paraId="3D691E09" w14:textId="77777777" w:rsidR="00285787" w:rsidRPr="00285787" w:rsidRDefault="00285787" w:rsidP="00285787">
      <w:pPr>
        <w:pStyle w:val="ListParagraph"/>
        <w:numPr>
          <w:ilvl w:val="0"/>
          <w:numId w:val="3"/>
        </w:numPr>
        <w:rPr>
          <w:rFonts w:ascii="Arial" w:hAnsi="Arial" w:cs="Arial"/>
          <w:sz w:val="24"/>
          <w:szCs w:val="24"/>
        </w:rPr>
      </w:pPr>
      <w:r w:rsidRPr="00285787">
        <w:rPr>
          <w:rFonts w:ascii="Arial" w:hAnsi="Arial" w:cs="Arial"/>
          <w:sz w:val="24"/>
          <w:szCs w:val="24"/>
        </w:rPr>
        <w:t xml:space="preserve">Access to justice in the civil courts is determined by what women can afford </w:t>
      </w:r>
    </w:p>
    <w:p w14:paraId="04B20D0D" w14:textId="77777777" w:rsidR="00285787" w:rsidRPr="00285787" w:rsidRDefault="00285787" w:rsidP="00285787">
      <w:pPr>
        <w:pStyle w:val="ListParagraph"/>
        <w:numPr>
          <w:ilvl w:val="0"/>
          <w:numId w:val="3"/>
        </w:numPr>
        <w:rPr>
          <w:rFonts w:ascii="Arial" w:hAnsi="Arial" w:cs="Arial"/>
          <w:sz w:val="24"/>
          <w:szCs w:val="24"/>
        </w:rPr>
      </w:pPr>
      <w:r w:rsidRPr="00285787">
        <w:rPr>
          <w:rFonts w:ascii="Arial" w:hAnsi="Arial" w:cs="Arial"/>
          <w:sz w:val="24"/>
          <w:szCs w:val="24"/>
        </w:rPr>
        <w:lastRenderedPageBreak/>
        <w:t xml:space="preserve">Children and young people, older women </w:t>
      </w:r>
    </w:p>
    <w:p w14:paraId="3DAB4DAA" w14:textId="77777777" w:rsidR="00285787" w:rsidRPr="00285787" w:rsidRDefault="00285787" w:rsidP="00285787">
      <w:pPr>
        <w:pStyle w:val="ListParagraph"/>
        <w:numPr>
          <w:ilvl w:val="0"/>
          <w:numId w:val="3"/>
        </w:numPr>
        <w:rPr>
          <w:rFonts w:ascii="Arial" w:hAnsi="Arial" w:cs="Arial"/>
          <w:sz w:val="24"/>
          <w:szCs w:val="24"/>
        </w:rPr>
      </w:pPr>
      <w:r w:rsidRPr="00285787">
        <w:rPr>
          <w:rFonts w:ascii="Arial" w:hAnsi="Arial" w:cs="Arial"/>
          <w:sz w:val="24"/>
          <w:szCs w:val="24"/>
        </w:rPr>
        <w:t>Stigma, lack of awareness, shame, lack of services</w:t>
      </w:r>
    </w:p>
    <w:p w14:paraId="3B48F012" w14:textId="13DEEA1D" w:rsidR="00285787" w:rsidRDefault="00285787" w:rsidP="00285787">
      <w:pPr>
        <w:pStyle w:val="ListParagraph"/>
        <w:numPr>
          <w:ilvl w:val="0"/>
          <w:numId w:val="3"/>
        </w:numPr>
        <w:rPr>
          <w:rFonts w:ascii="Arial" w:hAnsi="Arial" w:cs="Arial"/>
          <w:sz w:val="24"/>
          <w:szCs w:val="24"/>
        </w:rPr>
      </w:pPr>
      <w:r w:rsidRPr="00285787">
        <w:rPr>
          <w:rFonts w:ascii="Arial" w:hAnsi="Arial" w:cs="Arial"/>
          <w:sz w:val="24"/>
          <w:szCs w:val="24"/>
        </w:rPr>
        <w:t>Captive and Controlled – isolated, unsupported and unprotected</w:t>
      </w:r>
    </w:p>
    <w:p w14:paraId="0134B62F" w14:textId="36CC3B68" w:rsidR="008B6A98" w:rsidRDefault="008B6A98" w:rsidP="008B6A98">
      <w:pPr>
        <w:rPr>
          <w:rFonts w:ascii="Arial" w:hAnsi="Arial" w:cs="Arial"/>
          <w:sz w:val="24"/>
          <w:szCs w:val="24"/>
        </w:rPr>
      </w:pPr>
      <w:r>
        <w:rPr>
          <w:rFonts w:ascii="Arial" w:hAnsi="Arial" w:cs="Arial"/>
          <w:sz w:val="24"/>
          <w:szCs w:val="24"/>
        </w:rPr>
        <w:t xml:space="preserve">Slide 22 - </w:t>
      </w:r>
      <w:r w:rsidRPr="008B6A98">
        <w:rPr>
          <w:rFonts w:ascii="Arial" w:hAnsi="Arial" w:cs="Arial"/>
          <w:sz w:val="24"/>
          <w:szCs w:val="24"/>
        </w:rPr>
        <w:t>While some men do experience domestic abuse, research consistently shows that, where men are involved in domestic abuse, it is as perpetrators rather than as victims. The Scottish Government in 2018 reported that “consistently, where gender information is recorded, four out of every five incidents of domestic abuse have a female victim and a male perpetrator.  When women are perpetrators, this is most likely because they are responding in self-defence or to protect their children.</w:t>
      </w:r>
    </w:p>
    <w:p w14:paraId="540FD913" w14:textId="40E4F8AC" w:rsidR="0045578E" w:rsidRDefault="0045578E" w:rsidP="008B6A98">
      <w:pPr>
        <w:rPr>
          <w:rFonts w:ascii="Arial" w:hAnsi="Arial" w:cs="Arial"/>
          <w:sz w:val="24"/>
          <w:szCs w:val="24"/>
        </w:rPr>
      </w:pPr>
      <w:r>
        <w:rPr>
          <w:rFonts w:ascii="Arial" w:hAnsi="Arial" w:cs="Arial"/>
          <w:sz w:val="24"/>
          <w:szCs w:val="24"/>
        </w:rPr>
        <w:t>DIVIDING FACTOR IS FEAR</w:t>
      </w:r>
    </w:p>
    <w:p w14:paraId="761DA44C" w14:textId="13D94FD7" w:rsidR="00B82290" w:rsidRDefault="00B82290" w:rsidP="00B82290">
      <w:pPr>
        <w:rPr>
          <w:rFonts w:ascii="Arial" w:hAnsi="Arial" w:cs="Arial"/>
          <w:sz w:val="24"/>
          <w:szCs w:val="24"/>
        </w:rPr>
      </w:pPr>
      <w:r>
        <w:rPr>
          <w:rFonts w:ascii="Arial" w:hAnsi="Arial" w:cs="Arial"/>
          <w:sz w:val="24"/>
          <w:szCs w:val="24"/>
        </w:rPr>
        <w:t xml:space="preserve">Slide 23 - </w:t>
      </w:r>
      <w:r w:rsidRPr="00B82290">
        <w:rPr>
          <w:rFonts w:ascii="Arial" w:hAnsi="Arial" w:cs="Arial"/>
          <w:sz w:val="24"/>
          <w:szCs w:val="24"/>
        </w:rPr>
        <w:t>A gendered analysis of domestic abuse helps us understand why women may be more at risk.</w:t>
      </w:r>
    </w:p>
    <w:p w14:paraId="12D89FC8" w14:textId="1A9C62B0" w:rsidR="00F433B1" w:rsidRPr="00B82290" w:rsidRDefault="00F433B1" w:rsidP="00B82290">
      <w:pPr>
        <w:rPr>
          <w:rFonts w:ascii="Arial" w:hAnsi="Arial" w:cs="Arial"/>
          <w:sz w:val="24"/>
          <w:szCs w:val="24"/>
        </w:rPr>
      </w:pPr>
      <w:r>
        <w:rPr>
          <w:rFonts w:ascii="Arial" w:hAnsi="Arial" w:cs="Arial"/>
          <w:sz w:val="24"/>
          <w:szCs w:val="24"/>
        </w:rPr>
        <w:t xml:space="preserve">Side 24 – refer to </w:t>
      </w:r>
      <w:proofErr w:type="spellStart"/>
      <w:r>
        <w:rPr>
          <w:rFonts w:ascii="Arial" w:hAnsi="Arial" w:cs="Arial"/>
          <w:sz w:val="24"/>
          <w:szCs w:val="24"/>
        </w:rPr>
        <w:t>cyp</w:t>
      </w:r>
      <w:proofErr w:type="spellEnd"/>
      <w:r>
        <w:rPr>
          <w:rFonts w:ascii="Arial" w:hAnsi="Arial" w:cs="Arial"/>
          <w:sz w:val="24"/>
          <w:szCs w:val="24"/>
        </w:rPr>
        <w:t xml:space="preserve"> service</w:t>
      </w:r>
    </w:p>
    <w:p w14:paraId="5AAE4B6D" w14:textId="7FCE5F76" w:rsidR="00B82290" w:rsidRDefault="00B82290" w:rsidP="00B82290">
      <w:pPr>
        <w:rPr>
          <w:rFonts w:ascii="Arial" w:hAnsi="Arial" w:cs="Arial"/>
          <w:sz w:val="24"/>
          <w:szCs w:val="24"/>
        </w:rPr>
      </w:pPr>
      <w:r w:rsidRPr="00B82290">
        <w:rPr>
          <w:rFonts w:ascii="Arial" w:hAnsi="Arial" w:cs="Arial"/>
          <w:sz w:val="24"/>
          <w:szCs w:val="24"/>
        </w:rPr>
        <w:t>Approaches which do not recognise the influence of gender in everyday experiences fail both men and women. Assumptions that experiences of men and women are equivalent will not achieve equality of outcome.</w:t>
      </w:r>
    </w:p>
    <w:p w14:paraId="269ED5DA" w14:textId="7C064A05" w:rsidR="00277A21" w:rsidRDefault="008E0827" w:rsidP="004037FA">
      <w:pPr>
        <w:rPr>
          <w:rFonts w:ascii="Arial" w:hAnsi="Arial" w:cs="Arial"/>
          <w:sz w:val="24"/>
          <w:szCs w:val="24"/>
        </w:rPr>
      </w:pPr>
      <w:r>
        <w:rPr>
          <w:rFonts w:ascii="Arial" w:hAnsi="Arial" w:cs="Arial"/>
          <w:sz w:val="24"/>
          <w:szCs w:val="24"/>
        </w:rPr>
        <w:t xml:space="preserve">Slide 24 </w:t>
      </w:r>
    </w:p>
    <w:p w14:paraId="524A2B78" w14:textId="7F2292E0" w:rsidR="00BD04FB" w:rsidRDefault="002061A7" w:rsidP="00BD04FB">
      <w:pPr>
        <w:rPr>
          <w:rFonts w:ascii="Arial" w:hAnsi="Arial" w:cs="Arial"/>
          <w:sz w:val="24"/>
          <w:szCs w:val="24"/>
        </w:rPr>
      </w:pPr>
      <w:r>
        <w:rPr>
          <w:rFonts w:ascii="Arial" w:hAnsi="Arial" w:cs="Arial"/>
          <w:sz w:val="24"/>
          <w:szCs w:val="24"/>
        </w:rPr>
        <w:t xml:space="preserve">Slide 32 </w:t>
      </w:r>
      <w:r w:rsidR="00BD04FB">
        <w:rPr>
          <w:rFonts w:ascii="Arial" w:hAnsi="Arial" w:cs="Arial"/>
          <w:sz w:val="24"/>
          <w:szCs w:val="24"/>
        </w:rPr>
        <w:t>–</w:t>
      </w:r>
    </w:p>
    <w:p w14:paraId="6B1950B1" w14:textId="3B9FEBC2" w:rsidR="00BD04FB" w:rsidRPr="00BD04FB" w:rsidRDefault="00BD04FB" w:rsidP="00BD04FB">
      <w:pPr>
        <w:pStyle w:val="ListParagraph"/>
        <w:numPr>
          <w:ilvl w:val="0"/>
          <w:numId w:val="4"/>
        </w:numPr>
        <w:rPr>
          <w:rFonts w:ascii="Arial" w:hAnsi="Arial" w:cs="Arial"/>
          <w:sz w:val="24"/>
          <w:szCs w:val="24"/>
        </w:rPr>
      </w:pPr>
      <w:r w:rsidRPr="00BD04FB">
        <w:rPr>
          <w:rFonts w:ascii="Arial" w:hAnsi="Arial" w:cs="Arial"/>
          <w:sz w:val="24"/>
          <w:szCs w:val="24"/>
        </w:rPr>
        <w:t>Beyond ‘</w:t>
      </w:r>
      <w:proofErr w:type="spellStart"/>
      <w:r w:rsidRPr="00BD04FB">
        <w:rPr>
          <w:rFonts w:ascii="Arial" w:hAnsi="Arial" w:cs="Arial"/>
          <w:sz w:val="24"/>
          <w:szCs w:val="24"/>
        </w:rPr>
        <w:t>incidentalism</w:t>
      </w:r>
      <w:proofErr w:type="spellEnd"/>
      <w:r w:rsidRPr="00BD04FB">
        <w:rPr>
          <w:rFonts w:ascii="Arial" w:hAnsi="Arial" w:cs="Arial"/>
          <w:sz w:val="24"/>
          <w:szCs w:val="24"/>
        </w:rPr>
        <w:t>’</w:t>
      </w:r>
    </w:p>
    <w:p w14:paraId="453984AC" w14:textId="4AAAB146" w:rsidR="00BD04FB" w:rsidRPr="00BD04FB" w:rsidRDefault="00BD04FB" w:rsidP="00BD04FB">
      <w:pPr>
        <w:pStyle w:val="ListParagraph"/>
        <w:numPr>
          <w:ilvl w:val="0"/>
          <w:numId w:val="4"/>
        </w:numPr>
        <w:rPr>
          <w:rFonts w:ascii="Arial" w:hAnsi="Arial" w:cs="Arial"/>
          <w:sz w:val="24"/>
          <w:szCs w:val="24"/>
        </w:rPr>
      </w:pPr>
      <w:r w:rsidRPr="00BD04FB">
        <w:rPr>
          <w:rFonts w:ascii="Arial" w:hAnsi="Arial" w:cs="Arial"/>
          <w:sz w:val="24"/>
          <w:szCs w:val="24"/>
        </w:rPr>
        <w:t>A sustained pattern of behaviours - ‘coercive control’ and micro-management of everyday life (Stark, 2007)</w:t>
      </w:r>
    </w:p>
    <w:p w14:paraId="4AA38364" w14:textId="35FA2488" w:rsidR="00BD04FB" w:rsidRPr="00BD04FB" w:rsidRDefault="00BD04FB" w:rsidP="00BD04FB">
      <w:pPr>
        <w:pStyle w:val="ListParagraph"/>
        <w:numPr>
          <w:ilvl w:val="0"/>
          <w:numId w:val="4"/>
        </w:numPr>
        <w:rPr>
          <w:rFonts w:ascii="Arial" w:hAnsi="Arial" w:cs="Arial"/>
          <w:sz w:val="24"/>
          <w:szCs w:val="24"/>
        </w:rPr>
      </w:pPr>
      <w:r w:rsidRPr="00BD04FB">
        <w:rPr>
          <w:rFonts w:ascii="Arial" w:hAnsi="Arial" w:cs="Arial"/>
          <w:sz w:val="24"/>
          <w:szCs w:val="24"/>
        </w:rPr>
        <w:t>An abusive household gender regime (Morris, 2011)</w:t>
      </w:r>
    </w:p>
    <w:p w14:paraId="18529270" w14:textId="14F3CC30" w:rsidR="002061A7" w:rsidRPr="00BD04FB" w:rsidRDefault="00BD04FB" w:rsidP="00BD04FB">
      <w:pPr>
        <w:pStyle w:val="ListParagraph"/>
        <w:numPr>
          <w:ilvl w:val="0"/>
          <w:numId w:val="4"/>
        </w:numPr>
        <w:rPr>
          <w:rFonts w:ascii="Arial" w:hAnsi="Arial" w:cs="Arial"/>
          <w:sz w:val="24"/>
          <w:szCs w:val="24"/>
        </w:rPr>
      </w:pPr>
      <w:r w:rsidRPr="00BD04FB">
        <w:rPr>
          <w:rFonts w:ascii="Arial" w:hAnsi="Arial" w:cs="Arial"/>
          <w:sz w:val="24"/>
          <w:szCs w:val="24"/>
        </w:rPr>
        <w:t>A ‘liberty crime’, so we focus not just safety but also FREEDOM</w:t>
      </w:r>
    </w:p>
    <w:p w14:paraId="406FCB7F" w14:textId="77777777" w:rsidR="00BD04FB" w:rsidRDefault="00BD04FB" w:rsidP="004037FA">
      <w:pPr>
        <w:rPr>
          <w:rFonts w:ascii="Arial" w:hAnsi="Arial" w:cs="Arial"/>
          <w:sz w:val="24"/>
          <w:szCs w:val="24"/>
        </w:rPr>
      </w:pPr>
    </w:p>
    <w:p w14:paraId="45C4B7CF" w14:textId="162B5E77" w:rsidR="00522B98" w:rsidRDefault="00522B98" w:rsidP="004037FA">
      <w:pPr>
        <w:rPr>
          <w:rFonts w:ascii="Arial" w:hAnsi="Arial" w:cs="Arial"/>
          <w:sz w:val="24"/>
          <w:szCs w:val="24"/>
        </w:rPr>
      </w:pPr>
      <w:r>
        <w:rPr>
          <w:rFonts w:ascii="Arial" w:hAnsi="Arial" w:cs="Arial"/>
          <w:sz w:val="24"/>
          <w:szCs w:val="24"/>
        </w:rPr>
        <w:t xml:space="preserve">Jane Monckton Smith – tracking intimate partner homicide risk escalation.  8 stage </w:t>
      </w:r>
      <w:proofErr w:type="gramStart"/>
      <w:r>
        <w:rPr>
          <w:rFonts w:ascii="Arial" w:hAnsi="Arial" w:cs="Arial"/>
          <w:sz w:val="24"/>
          <w:szCs w:val="24"/>
        </w:rPr>
        <w:t>timeline</w:t>
      </w:r>
      <w:proofErr w:type="gramEnd"/>
      <w:r>
        <w:rPr>
          <w:rFonts w:ascii="Arial" w:hAnsi="Arial" w:cs="Arial"/>
          <w:sz w:val="24"/>
          <w:szCs w:val="24"/>
        </w:rPr>
        <w:t>.</w:t>
      </w:r>
    </w:p>
    <w:p w14:paraId="18D3B9CC" w14:textId="0D8B944A" w:rsidR="00980399" w:rsidRDefault="00980399" w:rsidP="004037FA">
      <w:pPr>
        <w:rPr>
          <w:rFonts w:ascii="Arial" w:hAnsi="Arial" w:cs="Arial"/>
          <w:sz w:val="24"/>
          <w:szCs w:val="24"/>
        </w:rPr>
      </w:pPr>
    </w:p>
    <w:p w14:paraId="3EC491CE" w14:textId="3FCF5BD3" w:rsidR="00980399" w:rsidRPr="002C375B" w:rsidRDefault="00980399" w:rsidP="004037FA">
      <w:pPr>
        <w:rPr>
          <w:rFonts w:ascii="Arial" w:hAnsi="Arial" w:cs="Arial"/>
          <w:sz w:val="24"/>
          <w:szCs w:val="24"/>
        </w:rPr>
      </w:pPr>
      <w:r>
        <w:rPr>
          <w:rFonts w:ascii="Arial" w:hAnsi="Arial" w:cs="Arial"/>
          <w:sz w:val="24"/>
          <w:szCs w:val="24"/>
        </w:rPr>
        <w:t>Or Hidden in Plain Sight (SWA animation</w:t>
      </w:r>
      <w:r w:rsidR="008F5017">
        <w:rPr>
          <w:rFonts w:ascii="Arial" w:hAnsi="Arial" w:cs="Arial"/>
          <w:sz w:val="24"/>
          <w:szCs w:val="24"/>
        </w:rPr>
        <w:t xml:space="preserve"> – SWA </w:t>
      </w:r>
      <w:bookmarkStart w:id="0" w:name="_GoBack"/>
      <w:bookmarkEnd w:id="0"/>
      <w:r w:rsidR="008F5017">
        <w:rPr>
          <w:rFonts w:ascii="Arial" w:hAnsi="Arial" w:cs="Arial"/>
          <w:sz w:val="24"/>
          <w:szCs w:val="24"/>
        </w:rPr>
        <w:t>you tube channel</w:t>
      </w:r>
      <w:r>
        <w:rPr>
          <w:rFonts w:ascii="Arial" w:hAnsi="Arial" w:cs="Arial"/>
          <w:sz w:val="24"/>
          <w:szCs w:val="24"/>
        </w:rPr>
        <w:t>)</w:t>
      </w:r>
    </w:p>
    <w:p w14:paraId="01AA7F59" w14:textId="78AE69C4" w:rsidR="00AA1827" w:rsidRDefault="00AA1827" w:rsidP="004037FA"/>
    <w:p w14:paraId="561C7BA3" w14:textId="77777777" w:rsidR="00AA1827" w:rsidRPr="004037FA" w:rsidRDefault="00AA1827" w:rsidP="004037FA"/>
    <w:p w14:paraId="2328D3DC" w14:textId="52B4574B" w:rsidR="00910B08" w:rsidRDefault="00910B08"/>
    <w:p w14:paraId="70545607" w14:textId="77777777" w:rsidR="00910B08" w:rsidRDefault="00910B08"/>
    <w:sectPr w:rsidR="0091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3210"/>
    <w:multiLevelType w:val="hybridMultilevel"/>
    <w:tmpl w:val="56EE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15EDD"/>
    <w:multiLevelType w:val="hybridMultilevel"/>
    <w:tmpl w:val="4956CB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D0E2F14"/>
    <w:multiLevelType w:val="hybridMultilevel"/>
    <w:tmpl w:val="7A5C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82B6A"/>
    <w:multiLevelType w:val="hybridMultilevel"/>
    <w:tmpl w:val="CFD813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08"/>
    <w:rsid w:val="000B1FEB"/>
    <w:rsid w:val="001D37B5"/>
    <w:rsid w:val="001D6EBA"/>
    <w:rsid w:val="002061A7"/>
    <w:rsid w:val="00256816"/>
    <w:rsid w:val="00277A21"/>
    <w:rsid w:val="00285787"/>
    <w:rsid w:val="00293B1E"/>
    <w:rsid w:val="002C375B"/>
    <w:rsid w:val="002C3A39"/>
    <w:rsid w:val="003D6D9B"/>
    <w:rsid w:val="004037FA"/>
    <w:rsid w:val="004371AF"/>
    <w:rsid w:val="00454B5F"/>
    <w:rsid w:val="0045578E"/>
    <w:rsid w:val="0045692A"/>
    <w:rsid w:val="004C5BF7"/>
    <w:rsid w:val="004D20CB"/>
    <w:rsid w:val="00505992"/>
    <w:rsid w:val="00522B98"/>
    <w:rsid w:val="0056544C"/>
    <w:rsid w:val="0057633B"/>
    <w:rsid w:val="005C08C5"/>
    <w:rsid w:val="005D0548"/>
    <w:rsid w:val="00605616"/>
    <w:rsid w:val="00677893"/>
    <w:rsid w:val="00772461"/>
    <w:rsid w:val="00896D1B"/>
    <w:rsid w:val="008B6A98"/>
    <w:rsid w:val="008E0827"/>
    <w:rsid w:val="008F5017"/>
    <w:rsid w:val="008F51A4"/>
    <w:rsid w:val="00910B08"/>
    <w:rsid w:val="009738EA"/>
    <w:rsid w:val="00980399"/>
    <w:rsid w:val="009D4A9B"/>
    <w:rsid w:val="00AA1827"/>
    <w:rsid w:val="00AF0A3E"/>
    <w:rsid w:val="00B82290"/>
    <w:rsid w:val="00BD04FB"/>
    <w:rsid w:val="00C310D2"/>
    <w:rsid w:val="00C924B3"/>
    <w:rsid w:val="00CB0216"/>
    <w:rsid w:val="00DB2445"/>
    <w:rsid w:val="00E03544"/>
    <w:rsid w:val="00E326C0"/>
    <w:rsid w:val="00E57DEA"/>
    <w:rsid w:val="00E6507B"/>
    <w:rsid w:val="00E91D16"/>
    <w:rsid w:val="00F433B1"/>
    <w:rsid w:val="00FD6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EA13"/>
  <w15:chartTrackingRefBased/>
  <w15:docId w15:val="{FC47578F-6944-4793-BF3D-A15CE2E3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39"/>
    <w:pPr>
      <w:ind w:left="720"/>
      <w:contextualSpacing/>
    </w:pPr>
  </w:style>
  <w:style w:type="character" w:styleId="Hyperlink">
    <w:name w:val="Hyperlink"/>
    <w:basedOn w:val="DefaultParagraphFont"/>
    <w:uiPriority w:val="99"/>
    <w:unhideWhenUsed/>
    <w:rsid w:val="00AA1827"/>
    <w:rPr>
      <w:color w:val="0563C1" w:themeColor="hyperlink"/>
      <w:u w:val="single"/>
    </w:rPr>
  </w:style>
  <w:style w:type="character" w:styleId="UnresolvedMention">
    <w:name w:val="Unresolved Mention"/>
    <w:basedOn w:val="DefaultParagraphFont"/>
    <w:uiPriority w:val="99"/>
    <w:semiHidden/>
    <w:unhideWhenUsed/>
    <w:rsid w:val="00AA1827"/>
    <w:rPr>
      <w:color w:val="605E5C"/>
      <w:shd w:val="clear" w:color="auto" w:fill="E1DFDD"/>
    </w:rPr>
  </w:style>
  <w:style w:type="character" w:styleId="FollowedHyperlink">
    <w:name w:val="FollowedHyperlink"/>
    <w:basedOn w:val="DefaultParagraphFont"/>
    <w:uiPriority w:val="99"/>
    <w:semiHidden/>
    <w:unhideWhenUsed/>
    <w:rsid w:val="00AA1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DEE542085E346896AE92B84CB70A8" ma:contentTypeVersion="10" ma:contentTypeDescription="Create a new document." ma:contentTypeScope="" ma:versionID="6dac97bfca104c9a5d02abedc7af998b">
  <xsd:schema xmlns:xsd="http://www.w3.org/2001/XMLSchema" xmlns:xs="http://www.w3.org/2001/XMLSchema" xmlns:p="http://schemas.microsoft.com/office/2006/metadata/properties" xmlns:ns3="888dfe47-cab4-4074-bb69-0fa4b39a4ddb" targetNamespace="http://schemas.microsoft.com/office/2006/metadata/properties" ma:root="true" ma:fieldsID="11fd4e7f2829c38306bf58c0a9d1d306" ns3:_="">
    <xsd:import namespace="888dfe47-cab4-4074-bb69-0fa4b39a4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fe47-cab4-4074-bb69-0fa4b39a4d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B6EDC-2A9A-473C-AD06-5679DFD4463B}">
  <ds:schemaRefs>
    <ds:schemaRef ds:uri="http://schemas.microsoft.com/office/infopath/2007/PartnerControls"/>
    <ds:schemaRef ds:uri="888dfe47-cab4-4074-bb69-0fa4b39a4dd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57E7DFD6-5A57-4E0F-AF2F-420C217F0AC5}">
  <ds:schemaRefs>
    <ds:schemaRef ds:uri="http://schemas.microsoft.com/sharepoint/v3/contenttype/forms"/>
  </ds:schemaRefs>
</ds:datastoreItem>
</file>

<file path=customXml/itemProps3.xml><?xml version="1.0" encoding="utf-8"?>
<ds:datastoreItem xmlns:ds="http://schemas.openxmlformats.org/officeDocument/2006/customXml" ds:itemID="{748DD72A-6FDF-4EB5-9C85-EF5EDAAAC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fe47-cab4-4074-bb69-0fa4b39a4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Hay</dc:creator>
  <cp:keywords/>
  <dc:description/>
  <cp:lastModifiedBy>Alison Hay</cp:lastModifiedBy>
  <cp:revision>51</cp:revision>
  <dcterms:created xsi:type="dcterms:W3CDTF">2020-09-02T08:59:00Z</dcterms:created>
  <dcterms:modified xsi:type="dcterms:W3CDTF">2021-01-20T09:39:00Z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0x010100B78DEE542085E346896AE92B84CB70A8</vt:lpwstr>
  </property>
</Properties>
</file>